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APA"/>
      </w:pPr>
    </w:p>
    <w:p>
      <w:pPr>
        <w:pStyle w:val="APA"/>
      </w:pPr>
    </w:p>
    <w:p>
      <w:pPr>
        <w:pStyle w:val="APA"/>
      </w:pPr>
    </w:p>
    <w:p>
      <w:pPr>
        <w:pStyle w:val="APA"/>
      </w:pPr>
    </w:p>
    <w:p>
      <w:pPr>
        <w:pStyle w:val="APA"/>
      </w:pPr>
    </w:p>
    <w:p>
      <w:pPr>
        <w:pStyle w:val="APA"/>
      </w:pPr>
    </w:p>
    <w:p>
      <w:pPr>
        <w:pStyle w:val="APA"/>
      </w:pPr>
    </w:p>
    <w:p>
      <w:pPr>
        <w:pStyle w:val="APA Heading Center"/>
        <w:rPr>
          <w:rtl w:val="0"/>
        </w:rPr>
      </w:pPr>
      <w:r>
        <w:rPr>
          <w:rFonts w:ascii="Times New Roman" w:cs="Arial Unicode MS" w:hAnsi="Arial Unicode MS" w:eastAsia="Arial Unicode MS"/>
          <w:rtl w:val="0"/>
          <w:lang w:val="en-US"/>
        </w:rPr>
        <w:t>Watson vs. Leininger</w:t>
      </w:r>
    </w:p>
    <w:p>
      <w:pPr>
        <w:pStyle w:val="APA Heading Center"/>
        <w:rPr>
          <w:rtl w:val="0"/>
        </w:rPr>
      </w:pPr>
      <w:bookmarkStart w:name="bmTitlePageName" w:id="0"/>
      <w:r>
        <w:rPr>
          <w:rFonts w:ascii="Times New Roman" w:cs="Arial Unicode MS" w:hAnsi="Arial Unicode MS" w:eastAsia="Arial Unicode MS"/>
          <w:rtl w:val="0"/>
          <w:lang w:val="en-US"/>
        </w:rPr>
        <w:t>Jennifer Tarczali, RN</w:t>
      </w:r>
      <w:bookmarkEnd w:id="0"/>
    </w:p>
    <w:p>
      <w:pPr>
        <w:pStyle w:val="APA Heading Center"/>
        <w:rPr>
          <w:rtl w:val="0"/>
        </w:rPr>
      </w:pPr>
      <w:bookmarkStart w:name="bmTitlePageInst" w:id="1"/>
      <w:r>
        <w:rPr>
          <w:rFonts w:ascii="Times New Roman" w:cs="Arial Unicode MS" w:hAnsi="Arial Unicode MS" w:eastAsia="Arial Unicode MS"/>
          <w:rtl w:val="0"/>
          <w:lang w:val="en-US"/>
        </w:rPr>
        <w:t>University of Hartford</w:t>
      </w:r>
      <w:bookmarkEnd w:id="1"/>
    </w:p>
    <w:p>
      <w:pPr>
        <w:pStyle w:val="APA Heading Center"/>
        <w:rPr>
          <w:rtl w:val="0"/>
        </w:rPr>
      </w:pPr>
    </w:p>
    <w:p>
      <w:pPr>
        <w:pStyle w:val="APA Heading Center"/>
        <w:rPr>
          <w:rtl w:val="0"/>
        </w:rPr>
      </w:pPr>
    </w:p>
    <w:p>
      <w:pPr>
        <w:pStyle w:val="APA Heading Center"/>
        <w:rPr>
          <w:rtl w:val="0"/>
        </w:rPr>
      </w:pPr>
    </w:p>
    <w:p>
      <w:pPr>
        <w:pStyle w:val="APA Heading Center"/>
        <w:rPr>
          <w:rtl w:val="0"/>
        </w:rPr>
      </w:pPr>
    </w:p>
    <w:p>
      <w:pPr>
        <w:pStyle w:val="APA"/>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pPr>
    </w:p>
    <w:p>
      <w:pPr>
        <w:pStyle w:val="APA Heading Center"/>
        <w:rPr>
          <w:rtl w:val="0"/>
        </w:rPr>
      </w:pPr>
      <w:r>
        <w:rPr>
          <w:rFonts w:ascii="Times New Roman" w:cs="Arial Unicode MS" w:hAnsi="Arial Unicode MS" w:eastAsia="Arial Unicode MS"/>
          <w:rtl w:val="0"/>
          <w:lang w:val="en-US"/>
        </w:rPr>
        <w:t>Watson vs. Leininger</w:t>
      </w:r>
    </w:p>
    <w:p>
      <w:pPr>
        <w:pStyle w:val="APA"/>
        <w:rPr>
          <w:rtl w:val="0"/>
        </w:rPr>
      </w:pPr>
      <w:r>
        <w:rPr>
          <w:rFonts w:ascii="Times New Roman" w:cs="Arial Unicode MS" w:hAnsi="Arial Unicode MS" w:eastAsia="Arial Unicode MS"/>
          <w:rtl w:val="0"/>
          <w:lang w:val="en-US"/>
        </w:rPr>
        <w:t>Madeleine Leininger</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s theory centers around the concept of transcultural knowledge.  As nurses we are taught that we must be respectful and mindful of our patient</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s culture, religion, and lifestyle. Many hospitals have programs that focus on cultural awareness, but Leininger maintained that it was not enough to merely possess knowledge of a patient</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s culture but imperative for the nurse to immerse themselves into that culture to be effective. Leininger believed in culturally congruent care that combined the etic or science based professional care with the emic or folk care of the culture. Initially, I did not think that this theory was relative in our current nursing practice. Hospital stays are shorter and our time with patients from admission to discharge is brief and does not allow for immersion in each patient</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s culture. However, upon further reflection, I have considered other nursing communities and phenomena where Leininger</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s theory can influence and improve nursing care. Disaster and relief emergent care, AIDs communities, Foreign military hospitals, MERCY ships, Doctors Without Borders, are all nursing disciplines that will require nurses to be more than knowledgeable and to immerse themselves into the culture of their patients. In these situations, Leininger</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s theory and the concepts of preservation or maintenance and accommodation or negotiation are significant. We cannot change our patient</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s culture or where they come from so we must accommodate our practice to provide the best care</w:t>
      </w:r>
      <w:bookmarkStart w:name="C431414484606481I0T432025070254630" w:id="2"/>
      <w:r>
        <w:rPr>
          <w:rFonts w:ascii="Times New Roman" w:cs="Arial Unicode MS" w:hAnsi="Arial Unicode MS" w:eastAsia="Arial Unicode MS"/>
          <w:rtl w:val="0"/>
          <w:lang w:val="en-US"/>
        </w:rPr>
        <w:t xml:space="preserve"> (Smith &amp; Parker, 2015)</w:t>
      </w:r>
      <w:bookmarkEnd w:id="2"/>
      <w:r>
        <w:rPr>
          <w:rFonts w:ascii="Times New Roman" w:cs="Arial Unicode MS" w:hAnsi="Arial Unicode MS" w:eastAsia="Arial Unicode MS"/>
          <w:rtl w:val="0"/>
          <w:lang w:val="en-US"/>
        </w:rPr>
        <w:t>.</w:t>
      </w:r>
    </w:p>
    <w:p>
      <w:pPr>
        <w:pStyle w:val="APA"/>
        <w:rPr>
          <w:rtl w:val="0"/>
        </w:rPr>
      </w:pPr>
      <w:r>
        <w:rPr>
          <w:rFonts w:ascii="Times New Roman" w:cs="Arial Unicode MS" w:hAnsi="Arial Unicode MS" w:eastAsia="Arial Unicode MS"/>
          <w:rtl w:val="0"/>
          <w:lang w:val="en-US"/>
        </w:rPr>
        <w:t>I believe that Jean Watson</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 xml:space="preserve">s theory, and her ten </w:t>
      </w:r>
      <w:bookmarkStart w:name="_GoBack" w:id="3"/>
      <w:r>
        <w:rPr>
          <w:rFonts w:ascii="Times New Roman" w:cs="Arial Unicode MS" w:hAnsi="Arial Unicode MS" w:eastAsia="Arial Unicode MS"/>
          <w:rtl w:val="0"/>
          <w:lang w:val="en-US"/>
        </w:rPr>
        <w:t>carative</w:t>
      </w:r>
      <w:bookmarkEnd w:id="3"/>
      <w:r>
        <w:rPr>
          <w:rFonts w:ascii="Times New Roman" w:cs="Arial Unicode MS" w:hAnsi="Arial Unicode MS" w:eastAsia="Arial Unicode MS"/>
          <w:rtl w:val="0"/>
          <w:lang w:val="en-US"/>
        </w:rPr>
        <w:t xml:space="preserve"> factors that evolved into the </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caritas process</w:t>
      </w:r>
      <w:r>
        <w:rPr>
          <w:rFonts w:ascii="Arial Unicode MS" w:cs="Arial Unicode MS" w:hAnsi="Times New Roman" w:eastAsia="Arial Unicode MS" w:hint="default"/>
          <w:rtl w:val="0"/>
          <w:lang w:val="en-US"/>
        </w:rPr>
        <w:t xml:space="preserve">” </w:t>
      </w:r>
      <w:r>
        <w:rPr>
          <w:rFonts w:ascii="Times New Roman" w:cs="Arial Unicode MS" w:hAnsi="Arial Unicode MS" w:eastAsia="Arial Unicode MS"/>
          <w:rtl w:val="0"/>
          <w:lang w:val="en-US"/>
        </w:rPr>
        <w:t xml:space="preserve">is what differentiates nursing from other professions and sciences. People claim </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nurses are different</w:t>
      </w:r>
      <w:r>
        <w:rPr>
          <w:rFonts w:ascii="Arial Unicode MS" w:cs="Arial Unicode MS" w:hAnsi="Times New Roman" w:eastAsia="Arial Unicode MS" w:hint="default"/>
          <w:rtl w:val="0"/>
          <w:lang w:val="en-US"/>
        </w:rPr>
        <w:t xml:space="preserve">” </w:t>
      </w:r>
      <w:r>
        <w:rPr>
          <w:rFonts w:ascii="Times New Roman" w:cs="Arial Unicode MS" w:hAnsi="Arial Unicode MS" w:eastAsia="Arial Unicode MS"/>
          <w:rtl w:val="0"/>
          <w:lang w:val="en-US"/>
        </w:rPr>
        <w:t>and that is true, we lean in every day to care for others. I believe that Watson</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 xml:space="preserve">s theory is more relative to our current practice in that it transcends all disciplines of nursing by asking the nurse to be the creator of the healing environment and allow for the </w:t>
      </w:r>
      <w:r>
        <w:rPr>
          <w:rFonts w:ascii="Arial Unicode MS" w:cs="Arial Unicode MS" w:hAnsi="Times New Roman" w:eastAsia="Arial Unicode MS" w:hint="default"/>
          <w:rtl w:val="0"/>
          <w:lang w:val="en-US"/>
        </w:rPr>
        <w:t>“</w:t>
      </w:r>
      <w:r>
        <w:rPr>
          <w:rFonts w:ascii="Times New Roman" w:cs="Arial Unicode MS" w:hAnsi="Arial Unicode MS" w:eastAsia="Arial Unicode MS"/>
          <w:rtl w:val="0"/>
          <w:lang w:val="en-US"/>
        </w:rPr>
        <w:t>caring moments</w:t>
      </w:r>
      <w:r>
        <w:rPr>
          <w:rFonts w:ascii="Arial Unicode MS" w:cs="Arial Unicode MS" w:hAnsi="Times New Roman" w:eastAsia="Arial Unicode MS" w:hint="default"/>
          <w:rtl w:val="0"/>
          <w:lang w:val="en-US"/>
        </w:rPr>
        <w:t xml:space="preserve">” </w:t>
      </w:r>
      <w:r>
        <w:rPr>
          <w:rFonts w:ascii="Times New Roman" w:cs="Arial Unicode MS" w:hAnsi="Arial Unicode MS" w:eastAsia="Arial Unicode MS"/>
          <w:rtl w:val="0"/>
          <w:lang w:val="en-US"/>
        </w:rPr>
        <w:t>that ultimately provide a caring consciousness between the nurse and the patient. I believe that this consciousness and these moments are what nurses strive for and what we imagined when we committed to nursing.</w:t>
      </w:r>
    </w:p>
    <w:p>
      <w:pPr>
        <w:pStyle w:val="APA"/>
        <w:rPr>
          <w:rtl w:val="0"/>
        </w:rPr>
      </w:pPr>
      <w:r>
        <w:rPr>
          <w:rFonts w:ascii="Times New Roman" w:cs="Arial Unicode MS" w:hAnsi="Arial Unicode MS" w:eastAsia="Arial Unicode MS"/>
          <w:rtl w:val="0"/>
          <w:lang w:val="en-US"/>
        </w:rPr>
        <w:t>Both of these theorists ask the nurse to look inside themselves, with Leininger we must examine our own cultural biases and incongruencies</w:t>
      </w:r>
      <w:bookmarkStart w:name="C429924953472222I0T432025439236111" w:id="4"/>
      <w:r>
        <w:rPr>
          <w:rFonts w:ascii="Times New Roman" w:cs="Arial Unicode MS" w:hAnsi="Arial Unicode MS" w:eastAsia="Arial Unicode MS"/>
          <w:rtl w:val="0"/>
          <w:lang w:val="en-US"/>
        </w:rPr>
        <w:t xml:space="preserve"> (Cuellar, 2017)</w:t>
      </w:r>
      <w:bookmarkEnd w:id="4"/>
      <w:r>
        <w:rPr>
          <w:rFonts w:ascii="Times New Roman" w:cs="Arial Unicode MS" w:hAnsi="Arial Unicode MS" w:eastAsia="Arial Unicode MS"/>
          <w:rtl w:val="0"/>
          <w:lang w:val="en-US"/>
        </w:rPr>
        <w:t xml:space="preserve">, with Watson we must reflect and develop our own spirituality and allow for hope and miracles to come in where science does not.  </w:t>
      </w:r>
    </w:p>
    <w:p>
      <w:pPr>
        <w:pStyle w:val="APA Heading Center Included In TOC"/>
      </w:pPr>
      <w:r>
        <w:rPr>
          <w:rtl w:val="0"/>
        </w:rPr>
        <w:br w:type="page"/>
      </w:r>
    </w:p>
    <w:p>
      <w:pPr>
        <w:pStyle w:val="APA Heading Center Included In TOC"/>
        <w:rPr>
          <w:rtl w:val="0"/>
        </w:rPr>
      </w:pPr>
      <w:r>
        <w:rPr>
          <w:rFonts w:ascii="Times New Roman" w:cs="Arial Unicode MS" w:hAnsi="Arial Unicode MS" w:eastAsia="Arial Unicode MS"/>
          <w:rtl w:val="0"/>
          <w:lang w:val="en-US"/>
        </w:rPr>
        <w:t>References</w:t>
      </w:r>
    </w:p>
    <w:p>
      <w:pPr>
        <w:pStyle w:val="APA Reference"/>
        <w:rPr>
          <w:rtl w:val="0"/>
        </w:rPr>
      </w:pPr>
      <w:bookmarkStart w:name="R429924953472222I0" w:id="5"/>
      <w:r>
        <w:rPr>
          <w:rFonts w:ascii="Times New Roman" w:cs="Arial Unicode MS" w:hAnsi="Arial Unicode MS" w:eastAsia="Arial Unicode MS"/>
          <w:rtl w:val="0"/>
          <w:lang w:val="en-US"/>
        </w:rPr>
        <w:t xml:space="preserve">Cuellar, N. G. (2017, July). Unconcscious Bias: What Is Yours? </w:t>
      </w:r>
      <w:r>
        <w:rPr>
          <w:rFonts w:ascii="Times New Roman" w:cs="Arial Unicode MS" w:hAnsi="Arial Unicode MS" w:eastAsia="Arial Unicode MS"/>
          <w:i w:val="1"/>
          <w:iCs w:val="1"/>
          <w:rtl w:val="0"/>
          <w:lang w:val="en-US"/>
        </w:rPr>
        <w:t>Journal of Transcultural Nursing</w:t>
      </w:r>
      <w:r>
        <w:rPr>
          <w:rFonts w:ascii="Times New Roman" w:cs="Arial Unicode MS" w:hAnsi="Arial Unicode MS" w:eastAsia="Arial Unicode MS"/>
          <w:rtl w:val="0"/>
          <w:lang w:val="en-US"/>
        </w:rPr>
        <w:t xml:space="preserve">, </w:t>
      </w:r>
      <w:r>
        <w:rPr>
          <w:rFonts w:ascii="Times New Roman" w:cs="Arial Unicode MS" w:hAnsi="Arial Unicode MS" w:eastAsia="Arial Unicode MS"/>
          <w:i w:val="1"/>
          <w:iCs w:val="1"/>
          <w:rtl w:val="0"/>
          <w:lang w:val="en-US"/>
        </w:rPr>
        <w:t>28</w:t>
      </w:r>
      <w:r>
        <w:rPr>
          <w:rFonts w:ascii="Times New Roman" w:cs="Arial Unicode MS" w:hAnsi="Arial Unicode MS" w:eastAsia="Arial Unicode MS"/>
          <w:rtl w:val="0"/>
          <w:lang w:val="en-US"/>
        </w:rPr>
        <w:t>(4), 333.</w:t>
      </w:r>
      <w:bookmarkEnd w:id="5"/>
    </w:p>
    <w:p>
      <w:pPr>
        <w:pStyle w:val="APA Reference"/>
      </w:pPr>
      <w:bookmarkStart w:name="R431414484606481I0" w:id="6"/>
      <w:r>
        <w:rPr>
          <w:rFonts w:ascii="Times New Roman" w:cs="Arial Unicode MS" w:hAnsi="Arial Unicode MS" w:eastAsia="Arial Unicode MS"/>
          <w:rtl w:val="0"/>
          <w:lang w:val="en-US"/>
        </w:rPr>
        <w:t xml:space="preserve">Smith, M. C., &amp; Parker, M. E. (2015). </w:t>
      </w:r>
      <w:r>
        <w:rPr>
          <w:rFonts w:ascii="Times New Roman" w:cs="Arial Unicode MS" w:hAnsi="Arial Unicode MS" w:eastAsia="Arial Unicode MS"/>
          <w:i w:val="1"/>
          <w:iCs w:val="1"/>
          <w:rtl w:val="0"/>
          <w:lang w:val="en-US"/>
        </w:rPr>
        <w:t xml:space="preserve">Nursing theories and nursing practice </w:t>
      </w:r>
      <w:r>
        <w:rPr>
          <w:rFonts w:ascii="Times New Roman" w:cs="Arial Unicode MS" w:hAnsi="Arial Unicode MS" w:eastAsia="Arial Unicode MS"/>
          <w:rtl w:val="0"/>
          <w:lang w:val="en-US"/>
        </w:rPr>
        <w:t>(Fourth ed.). Philadelphia, PA: F. A. Davis Company.</w:t>
      </w:r>
      <w:bookmarkEnd w:id="6"/>
    </w:p>
    <w:sectPr>
      <w:headerReference w:type="default" r:id="rId8"/>
      <w:headerReference w:type="first" r:id="rId9"/>
      <w:footerReference w:type="default" r:id="rId10"/>
      <w:footerReference w:type="first" r:id="rId11"/>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4.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APA Page Heading"/>
      <w:tabs>
        <w:tab w:val="right" w:pos="9340"/>
        <w:tab w:val="clear" w:pos="9360"/>
      </w:tabs>
    </w:pPr>
    <w:r>
      <w:rPr>
        <w:rtl w:val="0"/>
        <w:lang w:val="en-US"/>
      </w:rPr>
      <w:t>610DISCUSSION8</w:t>
      <w:tab/>
    </w:r>
    <w:r>
      <w:rPr>
        <w:rtl w:val="0"/>
      </w:rPr>
      <w:fldChar w:fldCharType="begin" w:fldLock="0"/>
    </w:r>
    <w:r>
      <w:rPr>
        <w:rtl w:val="0"/>
      </w:rPr>
      <w:t xml:space="preserve"> PAGE </w:t>
    </w:r>
    <w:r>
      <w:rPr>
        <w:rtl w:val="0"/>
      </w:rPr>
      <w:fldChar w:fldCharType="separate" w:fldLock="0"/>
    </w:r>
    <w:r>
      <w:rPr>
        <w:rtl w:val="0"/>
      </w:rPr>
      <w:t>4</w:t>
    </w:r>
    <w:r>
      <w:rPr>
        <w:rtl w:val="0"/>
      </w:rPr>
      <w:fldChar w:fldCharType="end" w:fldLock="0"/>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APA Page Heading"/>
      <w:tabs>
        <w:tab w:val="right" w:pos="9340"/>
        <w:tab w:val="clear" w:pos="9360"/>
      </w:tabs>
    </w:pPr>
    <w:r>
      <w:rPr>
        <w:rtl w:val="0"/>
        <w:lang w:val="en-US"/>
      </w:rPr>
      <w:t>610DISCUSSION8</w:t>
      <w:tab/>
    </w:r>
    <w:r>
      <w:rPr>
        <w:rtl w:val="0"/>
      </w:rPr>
      <w:fldChar w:fldCharType="begin" w:fldLock="0"/>
    </w:r>
    <w:r>
      <w:rPr>
        <w:rtl w:val="0"/>
      </w:rPr>
      <w:t xml:space="preserve"> PAGE </w:t>
    </w:r>
    <w:r>
      <w:rPr>
        <w:rtl w:val="0"/>
      </w:rPr>
      <w:fldChar w:fldCharType="separate" w:fldLock="0"/>
    </w:r>
    <w:r>
      <w:rPr>
        <w:rtl w:val="0"/>
      </w:rPr>
      <w:t>2</w:t>
    </w:r>
    <w:r>
      <w:rPr>
        <w:rtl w:val="0"/>
      </w:rPr>
      <w:fldChar w:fldCharType="end" w:fldLock="0"/>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APA">
    <w:name w:val="APA"/>
    <w:next w:val="APA"/>
    <w:pPr>
      <w:keepNext w:val="0"/>
      <w:keepLines w:val="0"/>
      <w:pageBreakBefore w:val="0"/>
      <w:widowControl w:val="1"/>
      <w:shd w:val="clear" w:color="auto" w:fill="auto"/>
      <w:suppressAutoHyphens w:val="0"/>
      <w:bidi w:val="0"/>
      <w:spacing w:before="0" w:after="0" w:line="480" w:lineRule="auto"/>
      <w:ind w:left="0" w:right="0" w:firstLine="72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APA Heading Center">
    <w:name w:val="APA Heading Center"/>
    <w:next w:val="APA"/>
    <w:pPr>
      <w:keepNext w:val="0"/>
      <w:keepLines w:val="0"/>
      <w:pageBreakBefore w:val="0"/>
      <w:widowControl w:val="1"/>
      <w:shd w:val="clear" w:color="auto" w:fill="auto"/>
      <w:suppressAutoHyphens w:val="0"/>
      <w:bidi w:val="0"/>
      <w:spacing w:before="0" w:after="0" w:line="480" w:lineRule="auto"/>
      <w:ind w:left="0" w:right="0" w:firstLine="0"/>
      <w:jc w:val="center"/>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APA Page Heading">
    <w:name w:val="APA Page Heading"/>
    <w:next w:val="APA Page Heading"/>
    <w:pPr>
      <w:keepNext w:val="0"/>
      <w:keepLines w:val="0"/>
      <w:pageBreakBefore w:val="0"/>
      <w:widowControl w:val="1"/>
      <w:shd w:val="clear" w:color="auto" w:fill="auto"/>
      <w:tabs>
        <w:tab w:val="right" w:pos="9360"/>
      </w:tabs>
      <w:suppressAutoHyphens w:val="0"/>
      <w:bidi w:val="0"/>
      <w:spacing w:before="0" w:after="0" w:line="48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APA Heading Center Included In TOC">
    <w:name w:val="APA Heading Center Included In TOC"/>
    <w:next w:val="APA"/>
    <w:pPr>
      <w:keepNext w:val="0"/>
      <w:keepLines w:val="0"/>
      <w:pageBreakBefore w:val="0"/>
      <w:widowControl w:val="1"/>
      <w:shd w:val="clear" w:color="auto" w:fill="auto"/>
      <w:suppressAutoHyphens w:val="0"/>
      <w:bidi w:val="0"/>
      <w:spacing w:before="0" w:after="0" w:line="480" w:lineRule="auto"/>
      <w:ind w:left="0" w:right="0" w:firstLine="0"/>
      <w:jc w:val="center"/>
      <w:outlineLvl w:val="0"/>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APA Reference">
    <w:name w:val="APA Reference"/>
    <w:next w:val="APA Reference"/>
    <w:pPr>
      <w:keepNext w:val="0"/>
      <w:keepLines w:val="0"/>
      <w:pageBreakBefore w:val="0"/>
      <w:widowControl w:val="1"/>
      <w:shd w:val="clear" w:color="auto" w:fill="auto"/>
      <w:suppressAutoHyphens w:val="0"/>
      <w:bidi w:val="0"/>
      <w:spacing w:before="0" w:after="0" w:line="480" w:lineRule="auto"/>
      <w:ind w:left="720" w:right="0" w:hanging="72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0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